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2E661" w14:textId="77777777" w:rsidR="009159EF" w:rsidRDefault="00000000">
      <w:pPr>
        <w:spacing w:after="60"/>
        <w:jc w:val="center"/>
      </w:pPr>
      <w:r>
        <w:rPr>
          <w:b/>
          <w:bCs/>
          <w:caps/>
          <w:color w:val="595959"/>
          <w:sz w:val="20"/>
          <w:szCs w:val="20"/>
        </w:rPr>
        <w:t>ALLIANCE FOR INNOVATION</w:t>
      </w:r>
    </w:p>
    <w:p w14:paraId="641CB715" w14:textId="77777777" w:rsidR="009159EF" w:rsidRDefault="00000000">
      <w:pPr>
        <w:spacing w:after="60"/>
        <w:jc w:val="center"/>
      </w:pPr>
      <w:r>
        <w:rPr>
          <w:color w:val="595959"/>
        </w:rPr>
        <w:t>Translation Services — Request for Proposal</w:t>
      </w:r>
    </w:p>
    <w:p w14:paraId="3CA88209" w14:textId="77777777" w:rsidR="009159EF" w:rsidRDefault="00000000">
      <w:pPr>
        <w:spacing w:before="80" w:after="40"/>
        <w:jc w:val="center"/>
      </w:pPr>
      <w:r>
        <w:rPr>
          <w:b/>
          <w:bCs/>
          <w:color w:val="1F4E79"/>
          <w:sz w:val="52"/>
          <w:szCs w:val="52"/>
        </w:rPr>
        <w:t>APPENDIX L</w:t>
      </w:r>
    </w:p>
    <w:p w14:paraId="27917235" w14:textId="2A269B28" w:rsidR="009159EF" w:rsidRDefault="00000000">
      <w:pPr>
        <w:pBdr>
          <w:bottom w:val="single" w:sz="8" w:space="4" w:color="2E75B6"/>
        </w:pBdr>
        <w:spacing w:after="160"/>
        <w:jc w:val="center"/>
      </w:pPr>
      <w:r>
        <w:rPr>
          <w:b/>
          <w:bCs/>
          <w:color w:val="2E75B6"/>
          <w:sz w:val="32"/>
          <w:szCs w:val="32"/>
        </w:rPr>
        <w:t>AI Accuracy Disclosure Form</w:t>
      </w:r>
    </w:p>
    <w:p w14:paraId="11D7140D" w14:textId="77777777" w:rsidR="009159EF" w:rsidRDefault="009159EF">
      <w:pPr>
        <w:spacing w:before="80"/>
      </w:pPr>
    </w:p>
    <w:p w14:paraId="0329046D" w14:textId="77777777" w:rsidR="009159EF" w:rsidRDefault="00000000">
      <w:pPr>
        <w:spacing w:after="240"/>
        <w:jc w:val="center"/>
      </w:pPr>
      <w:r>
        <w:rPr>
          <w:i/>
          <w:iCs/>
          <w:color w:val="595959"/>
          <w:sz w:val="20"/>
          <w:szCs w:val="20"/>
        </w:rPr>
        <w:t>Version 1.0  |  Effective upon contract execution</w:t>
      </w:r>
    </w:p>
    <w:p w14:paraId="579B8AEF" w14:textId="77777777" w:rsidR="009159EF" w:rsidRDefault="00000000">
      <w:pPr>
        <w:pStyle w:val="Heading1"/>
        <w:pBdr>
          <w:bottom w:val="single" w:sz="6" w:space="1" w:color="2E75B6"/>
        </w:pBdr>
      </w:pPr>
      <w:r>
        <w:t>1. Purpose and Scope</w:t>
      </w:r>
    </w:p>
    <w:p w14:paraId="052DDBA8" w14:textId="1FFEEA24" w:rsidR="009159EF" w:rsidRDefault="00000000">
      <w:pPr>
        <w:spacing w:before="80" w:after="80"/>
      </w:pPr>
      <w:r>
        <w:rPr>
          <w:color w:val="333333"/>
        </w:rPr>
        <w:t xml:space="preserve">This Appendix establishes the required disclosures, protocols, and mutual understandings regarding the use of artificial intelligence (AI) in the delivery of translation services under this contract. It applies to all AI-assisted or AI-generated translation output provided by the </w:t>
      </w:r>
      <w:r w:rsidR="005D26F3">
        <w:rPr>
          <w:color w:val="333333"/>
        </w:rPr>
        <w:t>Supplier</w:t>
      </w:r>
      <w:r>
        <w:rPr>
          <w:color w:val="333333"/>
        </w:rPr>
        <w:t xml:space="preserve"> to the Alliance for Innovation and its member organizations.</w:t>
      </w:r>
    </w:p>
    <w:p w14:paraId="4B506491" w14:textId="77777777" w:rsidR="009159EF" w:rsidRDefault="009159EF">
      <w:pPr>
        <w:spacing w:before="120"/>
      </w:pPr>
    </w:p>
    <w:p w14:paraId="662EF2C7" w14:textId="77777777" w:rsidR="009159EF" w:rsidRDefault="00000000">
      <w:pPr>
        <w:spacing w:before="80" w:after="80"/>
      </w:pPr>
      <w:r>
        <w:rPr>
          <w:color w:val="333333"/>
        </w:rPr>
        <w:t>Both parties acknowledge that AI-assisted translation offers significant efficiency gains while also presenting inherent limitations, particularly in high-stakes, nuanced, or legally sensitive contexts. This form governs how those limitations are disclosed, managed, and remedied.</w:t>
      </w:r>
    </w:p>
    <w:p w14:paraId="447D3B89" w14:textId="77777777" w:rsidR="009159EF" w:rsidRDefault="00000000">
      <w:pPr>
        <w:pStyle w:val="Heading1"/>
        <w:pBdr>
          <w:bottom w:val="single" w:sz="6" w:space="1" w:color="2E75B6"/>
        </w:pBdr>
      </w:pPr>
      <w:r>
        <w:t>2. AI Technology Disclosure</w:t>
      </w:r>
    </w:p>
    <w:p w14:paraId="1361D1F6" w14:textId="77777777" w:rsidR="009159EF" w:rsidRDefault="00000000">
      <w:pPr>
        <w:pStyle w:val="Heading2"/>
      </w:pPr>
      <w:r>
        <w:t>2.1 Technology Used</w:t>
      </w:r>
    </w:p>
    <w:p w14:paraId="2AC08004" w14:textId="0D28D1D7" w:rsidR="009159EF" w:rsidRDefault="00000000">
      <w:pPr>
        <w:spacing w:before="80" w:after="80"/>
      </w:pPr>
      <w:r>
        <w:rPr>
          <w:color w:val="333333"/>
        </w:rPr>
        <w:t xml:space="preserve">The </w:t>
      </w:r>
      <w:r w:rsidR="005D26F3">
        <w:rPr>
          <w:color w:val="333333"/>
        </w:rPr>
        <w:t>Supplier</w:t>
      </w:r>
      <w:r>
        <w:rPr>
          <w:color w:val="333333"/>
        </w:rPr>
        <w:t xml:space="preserve"> shall disclose, at time of contract execution and upon any material change, the following information regarding AI tools employed in translation workflows:</w:t>
      </w:r>
    </w:p>
    <w:p w14:paraId="35FBF564" w14:textId="77777777" w:rsidR="009159EF" w:rsidRDefault="00000000">
      <w:pPr>
        <w:pStyle w:val="ListParagraph"/>
        <w:numPr>
          <w:ilvl w:val="0"/>
          <w:numId w:val="2"/>
        </w:numPr>
        <w:spacing w:before="60" w:after="60"/>
      </w:pPr>
      <w:r>
        <w:rPr>
          <w:color w:val="333333"/>
        </w:rPr>
        <w:t>Name and version of AI/machine translation engine(s) used</w:t>
      </w:r>
    </w:p>
    <w:p w14:paraId="1E01D24D" w14:textId="77777777" w:rsidR="009159EF" w:rsidRDefault="00000000">
      <w:pPr>
        <w:pStyle w:val="ListParagraph"/>
        <w:numPr>
          <w:ilvl w:val="0"/>
          <w:numId w:val="2"/>
        </w:numPr>
        <w:spacing w:before="60" w:after="60"/>
      </w:pPr>
      <w:r>
        <w:rPr>
          <w:color w:val="333333"/>
        </w:rPr>
        <w:t>Whether large language models (LLMs) are employed and, if so, which models</w:t>
      </w:r>
    </w:p>
    <w:p w14:paraId="46ED86B3" w14:textId="77777777" w:rsidR="009159EF" w:rsidRDefault="00000000">
      <w:pPr>
        <w:pStyle w:val="ListParagraph"/>
        <w:numPr>
          <w:ilvl w:val="0"/>
          <w:numId w:val="2"/>
        </w:numPr>
        <w:spacing w:before="60" w:after="60"/>
      </w:pPr>
      <w:r>
        <w:rPr>
          <w:color w:val="333333"/>
        </w:rPr>
        <w:t>Whether translation memory, neural machine translation (NMT), or generative AI is utilized</w:t>
      </w:r>
    </w:p>
    <w:p w14:paraId="215559BF" w14:textId="77777777" w:rsidR="009159EF" w:rsidRDefault="00000000">
      <w:pPr>
        <w:pStyle w:val="ListParagraph"/>
        <w:numPr>
          <w:ilvl w:val="0"/>
          <w:numId w:val="2"/>
        </w:numPr>
        <w:spacing w:before="60" w:after="60"/>
      </w:pPr>
      <w:r>
        <w:rPr>
          <w:color w:val="333333"/>
        </w:rPr>
        <w:t>Any third-party APIs or cloud services that process Alliance content</w:t>
      </w:r>
    </w:p>
    <w:p w14:paraId="6260AA42" w14:textId="77777777" w:rsidR="009159EF" w:rsidRDefault="00000000">
      <w:pPr>
        <w:pStyle w:val="ListParagraph"/>
        <w:numPr>
          <w:ilvl w:val="0"/>
          <w:numId w:val="2"/>
        </w:numPr>
        <w:spacing w:before="60" w:after="60"/>
      </w:pPr>
      <w:r>
        <w:rPr>
          <w:color w:val="333333"/>
        </w:rPr>
        <w:t>Data retention and privacy practices of all AI tools used</w:t>
      </w:r>
    </w:p>
    <w:p w14:paraId="317096D2" w14:textId="77777777" w:rsidR="009159EF" w:rsidRDefault="009159EF">
      <w:pPr>
        <w:spacing w:before="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9159EF" w14:paraId="65E63167"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shd w:val="clear" w:color="auto" w:fill="D6E4F0"/>
            <w:tcMar>
              <w:top w:w="100" w:type="dxa"/>
              <w:left w:w="160" w:type="dxa"/>
              <w:bottom w:w="100" w:type="dxa"/>
              <w:right w:w="160" w:type="dxa"/>
            </w:tcMar>
          </w:tcPr>
          <w:p w14:paraId="4756BEE5" w14:textId="0D5ECA68" w:rsidR="009159EF" w:rsidRDefault="005D26F3">
            <w:r>
              <w:rPr>
                <w:b/>
                <w:bCs/>
                <w:color w:val="1F4E79"/>
              </w:rPr>
              <w:t>Supplier</w:t>
            </w:r>
            <w:r w:rsidR="00000000">
              <w:rPr>
                <w:b/>
                <w:bCs/>
                <w:color w:val="1F4E79"/>
              </w:rPr>
              <w:t xml:space="preserve"> Disclosure — AI Technology (complete at time of submission)</w:t>
            </w:r>
          </w:p>
        </w:tc>
      </w:tr>
      <w:tr w:rsidR="009159EF" w14:paraId="67B412DF"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60" w:type="dxa"/>
              <w:bottom w:w="100" w:type="dxa"/>
              <w:right w:w="160" w:type="dxa"/>
            </w:tcMar>
          </w:tcPr>
          <w:p w14:paraId="4B0230EE" w14:textId="77777777" w:rsidR="009159EF" w:rsidRDefault="00000000">
            <w:pPr>
              <w:spacing w:before="80" w:after="80"/>
            </w:pPr>
            <w:r>
              <w:rPr>
                <w:sz w:val="20"/>
                <w:szCs w:val="20"/>
              </w:rPr>
              <w:t>AI/MT Engine(s): _______________________________________________</w:t>
            </w:r>
          </w:p>
          <w:p w14:paraId="2E1C059C" w14:textId="77777777" w:rsidR="009159EF" w:rsidRDefault="00000000">
            <w:pPr>
              <w:spacing w:before="80" w:after="80"/>
            </w:pPr>
            <w:r>
              <w:rPr>
                <w:sz w:val="20"/>
                <w:szCs w:val="20"/>
              </w:rPr>
              <w:t>LLM(s) Used (if any): _________________________________________</w:t>
            </w:r>
          </w:p>
          <w:p w14:paraId="041001C6" w14:textId="77777777" w:rsidR="009159EF" w:rsidRDefault="00000000">
            <w:pPr>
              <w:spacing w:before="80" w:after="80"/>
            </w:pPr>
            <w:r>
              <w:rPr>
                <w:sz w:val="20"/>
                <w:szCs w:val="20"/>
              </w:rPr>
              <w:t>Translation Approach:  ☐ NMT    ☐ Generative AI    ☐ Hybrid    ☐ Other: ____________</w:t>
            </w:r>
          </w:p>
          <w:p w14:paraId="7520C312" w14:textId="77777777" w:rsidR="009159EF" w:rsidRDefault="00000000">
            <w:pPr>
              <w:spacing w:before="80" w:after="80"/>
            </w:pPr>
            <w:r>
              <w:rPr>
                <w:sz w:val="20"/>
                <w:szCs w:val="20"/>
              </w:rPr>
              <w:t>Third-Party Services: _________________________________________</w:t>
            </w:r>
          </w:p>
          <w:p w14:paraId="04E887F2" w14:textId="77777777" w:rsidR="009159EF" w:rsidRDefault="00000000">
            <w:pPr>
              <w:spacing w:before="80" w:after="80"/>
            </w:pPr>
            <w:r>
              <w:rPr>
                <w:sz w:val="20"/>
                <w:szCs w:val="20"/>
              </w:rPr>
              <w:t>Data Retention Policy Reference: _______________________________</w:t>
            </w:r>
          </w:p>
        </w:tc>
      </w:tr>
    </w:tbl>
    <w:p w14:paraId="0244EB8D" w14:textId="77777777" w:rsidR="009159EF" w:rsidRDefault="009159EF">
      <w:pPr>
        <w:spacing w:before="160"/>
      </w:pPr>
    </w:p>
    <w:p w14:paraId="290D4156" w14:textId="77777777" w:rsidR="009159EF" w:rsidRDefault="00000000">
      <w:pPr>
        <w:pStyle w:val="Heading2"/>
      </w:pPr>
      <w:r>
        <w:t>2.2 Human-in-the-Loop Processes</w:t>
      </w:r>
    </w:p>
    <w:p w14:paraId="7C905429" w14:textId="5709DCED" w:rsidR="009159EF" w:rsidRDefault="00000000">
      <w:pPr>
        <w:spacing w:before="80" w:after="80"/>
      </w:pPr>
      <w:r>
        <w:rPr>
          <w:color w:val="333333"/>
        </w:rPr>
        <w:lastRenderedPageBreak/>
        <w:t xml:space="preserve">The </w:t>
      </w:r>
      <w:r w:rsidR="005D26F3">
        <w:rPr>
          <w:color w:val="333333"/>
        </w:rPr>
        <w:t>Supplier</w:t>
      </w:r>
      <w:r>
        <w:rPr>
          <w:color w:val="333333"/>
        </w:rPr>
        <w:t xml:space="preserve"> shall describe the role of human translators and reviewers in AI-assisted workflows:</w:t>
      </w:r>
    </w:p>
    <w:p w14:paraId="47F9AA85" w14:textId="77777777" w:rsidR="009159EF" w:rsidRDefault="00000000">
      <w:pPr>
        <w:pStyle w:val="ListParagraph"/>
        <w:numPr>
          <w:ilvl w:val="0"/>
          <w:numId w:val="2"/>
        </w:numPr>
        <w:spacing w:before="60" w:after="60"/>
      </w:pPr>
      <w:r>
        <w:rPr>
          <w:color w:val="333333"/>
        </w:rPr>
        <w:t>Whether post-editing by a qualified human translator is standard or optional</w:t>
      </w:r>
    </w:p>
    <w:p w14:paraId="500F9372" w14:textId="77777777" w:rsidR="009159EF" w:rsidRDefault="00000000">
      <w:pPr>
        <w:pStyle w:val="ListParagraph"/>
        <w:numPr>
          <w:ilvl w:val="0"/>
          <w:numId w:val="2"/>
        </w:numPr>
        <w:spacing w:before="60" w:after="60"/>
      </w:pPr>
      <w:r>
        <w:rPr>
          <w:color w:val="333333"/>
        </w:rPr>
        <w:t>The qualifications required of human reviewers (e.g., certified translators, subject matter experts)</w:t>
      </w:r>
    </w:p>
    <w:p w14:paraId="0098622C" w14:textId="77777777" w:rsidR="009159EF" w:rsidRDefault="00000000">
      <w:pPr>
        <w:pStyle w:val="ListParagraph"/>
        <w:numPr>
          <w:ilvl w:val="0"/>
          <w:numId w:val="2"/>
        </w:numPr>
        <w:spacing w:before="60" w:after="60"/>
      </w:pPr>
      <w:r>
        <w:rPr>
          <w:color w:val="333333"/>
        </w:rPr>
        <w:t>Whether human review is available for all language pairs or only select ones</w:t>
      </w:r>
    </w:p>
    <w:p w14:paraId="70FAD8B8" w14:textId="77777777" w:rsidR="009159EF" w:rsidRDefault="00000000">
      <w:pPr>
        <w:pStyle w:val="ListParagraph"/>
        <w:numPr>
          <w:ilvl w:val="0"/>
          <w:numId w:val="2"/>
        </w:numPr>
        <w:spacing w:before="60" w:after="60"/>
      </w:pPr>
      <w:r>
        <w:rPr>
          <w:color w:val="333333"/>
        </w:rPr>
        <w:t>Estimated turnaround times with and without human post-editing</w:t>
      </w:r>
    </w:p>
    <w:p w14:paraId="62590786" w14:textId="77777777" w:rsidR="009159EF" w:rsidRDefault="009159EF">
      <w:pPr>
        <w:spacing w:before="160"/>
      </w:pPr>
    </w:p>
    <w:p w14:paraId="0C828EA7" w14:textId="77777777" w:rsidR="009159EF" w:rsidRDefault="00000000">
      <w:pPr>
        <w:pStyle w:val="Heading1"/>
        <w:pBdr>
          <w:bottom w:val="single" w:sz="6" w:space="1" w:color="2E75B6"/>
        </w:pBdr>
      </w:pPr>
      <w:r>
        <w:t>3. Known Limitations of AI Translation</w:t>
      </w:r>
    </w:p>
    <w:p w14:paraId="07A75086" w14:textId="6AF116E9" w:rsidR="009159EF" w:rsidRDefault="00000000">
      <w:pPr>
        <w:spacing w:before="80" w:after="80"/>
      </w:pPr>
      <w:r>
        <w:rPr>
          <w:color w:val="333333"/>
        </w:rPr>
        <w:t xml:space="preserve">The </w:t>
      </w:r>
      <w:r w:rsidR="005D26F3">
        <w:rPr>
          <w:color w:val="333333"/>
        </w:rPr>
        <w:t>Supplier</w:t>
      </w:r>
      <w:r>
        <w:rPr>
          <w:color w:val="333333"/>
        </w:rPr>
        <w:t xml:space="preserve"> expressly acknowledges and discloses the following known limitations of AI-assisted translation:</w:t>
      </w:r>
    </w:p>
    <w:p w14:paraId="38C8CC78" w14:textId="77777777" w:rsidR="009159EF" w:rsidRDefault="009159EF">
      <w:pPr>
        <w:spacing w:before="80"/>
      </w:pPr>
    </w:p>
    <w:tbl>
      <w:tblPr>
        <w:tblW w:w="8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500"/>
        <w:gridCol w:w="1560"/>
      </w:tblGrid>
      <w:tr w:rsidR="005D26F3" w14:paraId="1A41A1CB" w14:textId="77777777" w:rsidTr="005D26F3">
        <w:tblPrEx>
          <w:tblCellMar>
            <w:top w:w="0" w:type="dxa"/>
            <w:bottom w:w="0" w:type="dxa"/>
          </w:tblCellMar>
        </w:tblPrEx>
        <w:tc>
          <w:tcPr>
            <w:tcW w:w="65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0A58DC62" w14:textId="77777777" w:rsidR="005D26F3" w:rsidRDefault="005D26F3">
            <w:r>
              <w:rPr>
                <w:b/>
                <w:bCs/>
                <w:color w:val="FFFFFF"/>
                <w:sz w:val="20"/>
                <w:szCs w:val="20"/>
              </w:rPr>
              <w:t>Acknowledgment Item</w:t>
            </w:r>
          </w:p>
        </w:tc>
        <w:tc>
          <w:tcPr>
            <w:tcW w:w="156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0E0B4557" w14:textId="74053F2B" w:rsidR="005D26F3" w:rsidRDefault="005D26F3">
            <w:pPr>
              <w:jc w:val="center"/>
            </w:pPr>
            <w:r>
              <w:rPr>
                <w:b/>
                <w:bCs/>
                <w:color w:val="FFFFFF"/>
                <w:sz w:val="20"/>
                <w:szCs w:val="20"/>
              </w:rPr>
              <w:t>Supplier Initials</w:t>
            </w:r>
          </w:p>
        </w:tc>
      </w:tr>
      <w:tr w:rsidR="005D26F3" w14:paraId="40086D1F" w14:textId="77777777" w:rsidTr="005D26F3">
        <w:tblPrEx>
          <w:tblCellMar>
            <w:top w:w="0" w:type="dxa"/>
            <w:bottom w:w="0" w:type="dxa"/>
          </w:tblCellMar>
        </w:tblPrEx>
        <w:tc>
          <w:tcPr>
            <w:tcW w:w="6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E8ACA1" w14:textId="77777777" w:rsidR="005D26F3" w:rsidRDefault="005D26F3">
            <w:r>
              <w:rPr>
                <w:color w:val="333333"/>
                <w:sz w:val="20"/>
                <w:szCs w:val="20"/>
              </w:rPr>
              <w:t>AI translation may produce errors in idiomatic, colloquial, or culturally specific expressions</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338C0F" w14:textId="77777777" w:rsidR="005D26F3" w:rsidRDefault="005D26F3">
            <w:pPr>
              <w:jc w:val="center"/>
            </w:pPr>
            <w:r>
              <w:rPr>
                <w:sz w:val="20"/>
                <w:szCs w:val="20"/>
              </w:rPr>
              <w:t>________</w:t>
            </w:r>
          </w:p>
        </w:tc>
      </w:tr>
      <w:tr w:rsidR="005D26F3" w14:paraId="3323833E" w14:textId="77777777" w:rsidTr="005D26F3">
        <w:tblPrEx>
          <w:tblCellMar>
            <w:top w:w="0" w:type="dxa"/>
            <w:bottom w:w="0" w:type="dxa"/>
          </w:tblCellMar>
        </w:tblPrEx>
        <w:tc>
          <w:tcPr>
            <w:tcW w:w="6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E4F060C" w14:textId="77777777" w:rsidR="005D26F3" w:rsidRDefault="005D26F3">
            <w:r>
              <w:rPr>
                <w:color w:val="333333"/>
                <w:sz w:val="20"/>
                <w:szCs w:val="20"/>
              </w:rPr>
              <w:t>AI systems may misinterpret ambiguous or context-dependent language</w:t>
            </w:r>
          </w:p>
        </w:tc>
        <w:tc>
          <w:tcPr>
            <w:tcW w:w="15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58A7AE49" w14:textId="77777777" w:rsidR="005D26F3" w:rsidRDefault="005D26F3">
            <w:pPr>
              <w:jc w:val="center"/>
            </w:pPr>
            <w:r>
              <w:rPr>
                <w:sz w:val="20"/>
                <w:szCs w:val="20"/>
              </w:rPr>
              <w:t>________</w:t>
            </w:r>
          </w:p>
        </w:tc>
      </w:tr>
      <w:tr w:rsidR="005D26F3" w14:paraId="4C1E42F1" w14:textId="77777777" w:rsidTr="005D26F3">
        <w:tblPrEx>
          <w:tblCellMar>
            <w:top w:w="0" w:type="dxa"/>
            <w:bottom w:w="0" w:type="dxa"/>
          </w:tblCellMar>
        </w:tblPrEx>
        <w:tc>
          <w:tcPr>
            <w:tcW w:w="6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6EB1FE" w14:textId="77777777" w:rsidR="005D26F3" w:rsidRDefault="005D26F3">
            <w:r>
              <w:rPr>
                <w:color w:val="333333"/>
                <w:sz w:val="20"/>
                <w:szCs w:val="20"/>
              </w:rPr>
              <w:t>Technical, legal, and medical terminology may be rendered incorrectly without domain-specific tuning</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AF609F" w14:textId="77777777" w:rsidR="005D26F3" w:rsidRDefault="005D26F3">
            <w:pPr>
              <w:jc w:val="center"/>
            </w:pPr>
            <w:r>
              <w:rPr>
                <w:sz w:val="20"/>
                <w:szCs w:val="20"/>
              </w:rPr>
              <w:t>________</w:t>
            </w:r>
          </w:p>
        </w:tc>
      </w:tr>
      <w:tr w:rsidR="005D26F3" w14:paraId="4816128E" w14:textId="77777777" w:rsidTr="005D26F3">
        <w:tblPrEx>
          <w:tblCellMar>
            <w:top w:w="0" w:type="dxa"/>
            <w:bottom w:w="0" w:type="dxa"/>
          </w:tblCellMar>
        </w:tblPrEx>
        <w:tc>
          <w:tcPr>
            <w:tcW w:w="6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FFAF164" w14:textId="77777777" w:rsidR="005D26F3" w:rsidRDefault="005D26F3">
            <w:r>
              <w:rPr>
                <w:color w:val="333333"/>
                <w:sz w:val="20"/>
                <w:szCs w:val="20"/>
              </w:rPr>
              <w:t>AI models may reflect biases present in their training data, potentially affecting tone or framing</w:t>
            </w:r>
          </w:p>
        </w:tc>
        <w:tc>
          <w:tcPr>
            <w:tcW w:w="15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90B5B01" w14:textId="77777777" w:rsidR="005D26F3" w:rsidRDefault="005D26F3">
            <w:pPr>
              <w:jc w:val="center"/>
            </w:pPr>
            <w:r>
              <w:rPr>
                <w:sz w:val="20"/>
                <w:szCs w:val="20"/>
              </w:rPr>
              <w:t>________</w:t>
            </w:r>
          </w:p>
        </w:tc>
      </w:tr>
      <w:tr w:rsidR="005D26F3" w14:paraId="4003D69C" w14:textId="77777777" w:rsidTr="005D26F3">
        <w:tblPrEx>
          <w:tblCellMar>
            <w:top w:w="0" w:type="dxa"/>
            <w:bottom w:w="0" w:type="dxa"/>
          </w:tblCellMar>
        </w:tblPrEx>
        <w:tc>
          <w:tcPr>
            <w:tcW w:w="6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D29D57" w14:textId="77777777" w:rsidR="005D26F3" w:rsidRDefault="005D26F3">
            <w:r>
              <w:rPr>
                <w:color w:val="333333"/>
                <w:sz w:val="20"/>
                <w:szCs w:val="20"/>
              </w:rPr>
              <w:t>Low-resource languages (languages with limited training data) carry higher error risk</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EADE95" w14:textId="77777777" w:rsidR="005D26F3" w:rsidRDefault="005D26F3">
            <w:pPr>
              <w:jc w:val="center"/>
            </w:pPr>
            <w:r>
              <w:rPr>
                <w:sz w:val="20"/>
                <w:szCs w:val="20"/>
              </w:rPr>
              <w:t>________</w:t>
            </w:r>
          </w:p>
        </w:tc>
      </w:tr>
      <w:tr w:rsidR="005D26F3" w14:paraId="5F21A28B" w14:textId="77777777" w:rsidTr="005D26F3">
        <w:tblPrEx>
          <w:tblCellMar>
            <w:top w:w="0" w:type="dxa"/>
            <w:bottom w:w="0" w:type="dxa"/>
          </w:tblCellMar>
        </w:tblPrEx>
        <w:tc>
          <w:tcPr>
            <w:tcW w:w="6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6E4CF450" w14:textId="77777777" w:rsidR="005D26F3" w:rsidRDefault="005D26F3">
            <w:r>
              <w:rPr>
                <w:color w:val="333333"/>
                <w:sz w:val="20"/>
                <w:szCs w:val="20"/>
              </w:rPr>
              <w:t>AI output quality may degrade for long documents, complex sentence structures, or mixed-language content</w:t>
            </w:r>
          </w:p>
        </w:tc>
        <w:tc>
          <w:tcPr>
            <w:tcW w:w="15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19459282" w14:textId="77777777" w:rsidR="005D26F3" w:rsidRDefault="005D26F3">
            <w:pPr>
              <w:jc w:val="center"/>
            </w:pPr>
            <w:r>
              <w:rPr>
                <w:sz w:val="20"/>
                <w:szCs w:val="20"/>
              </w:rPr>
              <w:t>________</w:t>
            </w:r>
          </w:p>
        </w:tc>
      </w:tr>
      <w:tr w:rsidR="005D26F3" w14:paraId="08CFAF46" w14:textId="77777777" w:rsidTr="005D26F3">
        <w:tblPrEx>
          <w:tblCellMar>
            <w:top w:w="0" w:type="dxa"/>
            <w:bottom w:w="0" w:type="dxa"/>
          </w:tblCellMar>
        </w:tblPrEx>
        <w:tc>
          <w:tcPr>
            <w:tcW w:w="6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659DC4" w14:textId="77777777" w:rsidR="005D26F3" w:rsidRDefault="005D26F3">
            <w:r>
              <w:rPr>
                <w:color w:val="333333"/>
                <w:sz w:val="20"/>
                <w:szCs w:val="20"/>
              </w:rPr>
              <w:t>AI tools may not accurately reflect recently coined terminology, regulatory changes, or emerging usage</w:t>
            </w:r>
          </w:p>
        </w:tc>
        <w:tc>
          <w:tcPr>
            <w:tcW w:w="15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6237ED" w14:textId="77777777" w:rsidR="005D26F3" w:rsidRDefault="005D26F3">
            <w:pPr>
              <w:jc w:val="center"/>
            </w:pPr>
            <w:r>
              <w:rPr>
                <w:sz w:val="20"/>
                <w:szCs w:val="20"/>
              </w:rPr>
              <w:t>________</w:t>
            </w:r>
          </w:p>
        </w:tc>
      </w:tr>
      <w:tr w:rsidR="005D26F3" w14:paraId="4BDA1678" w14:textId="77777777" w:rsidTr="005D26F3">
        <w:tblPrEx>
          <w:tblCellMar>
            <w:top w:w="0" w:type="dxa"/>
            <w:bottom w:w="0" w:type="dxa"/>
          </w:tblCellMar>
        </w:tblPrEx>
        <w:tc>
          <w:tcPr>
            <w:tcW w:w="65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2283D272" w14:textId="77777777" w:rsidR="005D26F3" w:rsidRDefault="005D26F3">
            <w:r>
              <w:rPr>
                <w:color w:val="333333"/>
                <w:sz w:val="20"/>
                <w:szCs w:val="20"/>
              </w:rPr>
              <w:t>Translated documents may not meet accessibility or plain-language standards without additional review</w:t>
            </w:r>
          </w:p>
        </w:tc>
        <w:tc>
          <w:tcPr>
            <w:tcW w:w="156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20" w:type="dxa"/>
              <w:bottom w:w="80" w:type="dxa"/>
              <w:right w:w="120" w:type="dxa"/>
            </w:tcMar>
          </w:tcPr>
          <w:p w14:paraId="362D13DD" w14:textId="77777777" w:rsidR="005D26F3" w:rsidRDefault="005D26F3">
            <w:pPr>
              <w:jc w:val="center"/>
            </w:pPr>
            <w:r>
              <w:rPr>
                <w:sz w:val="20"/>
                <w:szCs w:val="20"/>
              </w:rPr>
              <w:t>________</w:t>
            </w:r>
          </w:p>
        </w:tc>
      </w:tr>
    </w:tbl>
    <w:p w14:paraId="089CCCD8" w14:textId="77777777" w:rsidR="009159EF" w:rsidRDefault="009159EF">
      <w:pPr>
        <w:spacing w:before="160"/>
      </w:pPr>
    </w:p>
    <w:p w14:paraId="026B2661" w14:textId="77777777" w:rsidR="009159EF" w:rsidRDefault="00000000">
      <w:pPr>
        <w:pStyle w:val="Heading1"/>
        <w:pBdr>
          <w:bottom w:val="single" w:sz="6" w:space="1" w:color="2E75B6"/>
        </w:pBdr>
      </w:pPr>
      <w:r>
        <w:t>4. High-Stakes Content Protocols</w:t>
      </w:r>
    </w:p>
    <w:p w14:paraId="63AC1BA5" w14:textId="77777777" w:rsidR="009159EF" w:rsidRDefault="00000000">
      <w:pPr>
        <w:pStyle w:val="Heading2"/>
      </w:pPr>
      <w:r>
        <w:t>4.1 Definition of High-Stakes Contexts</w:t>
      </w:r>
    </w:p>
    <w:p w14:paraId="5CAD82ED" w14:textId="77777777" w:rsidR="009159EF" w:rsidRDefault="00000000">
      <w:pPr>
        <w:spacing w:before="80" w:after="80"/>
      </w:pPr>
      <w:r>
        <w:rPr>
          <w:color w:val="333333"/>
        </w:rPr>
        <w:t>For purposes of this Agreement, "high-stakes content" includes, but is not limited to:</w:t>
      </w:r>
    </w:p>
    <w:p w14:paraId="0784A3DB" w14:textId="77777777" w:rsidR="009159EF" w:rsidRDefault="00000000">
      <w:pPr>
        <w:pStyle w:val="ListParagraph"/>
        <w:numPr>
          <w:ilvl w:val="0"/>
          <w:numId w:val="2"/>
        </w:numPr>
        <w:spacing w:before="60" w:after="60"/>
      </w:pPr>
      <w:r>
        <w:rPr>
          <w:color w:val="333333"/>
        </w:rPr>
        <w:t>Legal documents, contracts, regulatory filings, and compliance materials</w:t>
      </w:r>
    </w:p>
    <w:p w14:paraId="068EAF4D" w14:textId="77777777" w:rsidR="009159EF" w:rsidRDefault="00000000">
      <w:pPr>
        <w:pStyle w:val="ListParagraph"/>
        <w:numPr>
          <w:ilvl w:val="0"/>
          <w:numId w:val="2"/>
        </w:numPr>
        <w:spacing w:before="60" w:after="60"/>
      </w:pPr>
      <w:r>
        <w:rPr>
          <w:color w:val="333333"/>
        </w:rPr>
        <w:t>Medical, clinical, or public health communications</w:t>
      </w:r>
    </w:p>
    <w:p w14:paraId="2AE7CCEE" w14:textId="77777777" w:rsidR="009159EF" w:rsidRDefault="00000000">
      <w:pPr>
        <w:pStyle w:val="ListParagraph"/>
        <w:numPr>
          <w:ilvl w:val="0"/>
          <w:numId w:val="2"/>
        </w:numPr>
        <w:spacing w:before="60" w:after="60"/>
      </w:pPr>
      <w:r>
        <w:rPr>
          <w:color w:val="333333"/>
        </w:rPr>
        <w:t>Grant applications, funding agreements, and financial disclosures</w:t>
      </w:r>
    </w:p>
    <w:p w14:paraId="19AD8388" w14:textId="77777777" w:rsidR="009159EF" w:rsidRDefault="00000000">
      <w:pPr>
        <w:pStyle w:val="ListParagraph"/>
        <w:numPr>
          <w:ilvl w:val="0"/>
          <w:numId w:val="2"/>
        </w:numPr>
        <w:spacing w:before="60" w:after="60"/>
      </w:pPr>
      <w:r>
        <w:rPr>
          <w:color w:val="333333"/>
        </w:rPr>
        <w:lastRenderedPageBreak/>
        <w:t>Emergency communications and crisis response materials</w:t>
      </w:r>
    </w:p>
    <w:p w14:paraId="309BAD4F" w14:textId="77777777" w:rsidR="009159EF" w:rsidRDefault="00000000">
      <w:pPr>
        <w:pStyle w:val="ListParagraph"/>
        <w:numPr>
          <w:ilvl w:val="0"/>
          <w:numId w:val="2"/>
        </w:numPr>
        <w:spacing w:before="60" w:after="60"/>
      </w:pPr>
      <w:r>
        <w:rPr>
          <w:color w:val="333333"/>
        </w:rPr>
        <w:t>Content for vulnerable populations (minors, individuals with disabilities, non-English-dominant communities)</w:t>
      </w:r>
    </w:p>
    <w:p w14:paraId="5F546C51" w14:textId="77777777" w:rsidR="009159EF" w:rsidRDefault="00000000">
      <w:pPr>
        <w:pStyle w:val="ListParagraph"/>
        <w:numPr>
          <w:ilvl w:val="0"/>
          <w:numId w:val="2"/>
        </w:numPr>
        <w:spacing w:before="60" w:after="60"/>
      </w:pPr>
      <w:r>
        <w:rPr>
          <w:color w:val="333333"/>
        </w:rPr>
        <w:t>Formally published or widely distributed public-facing documents</w:t>
      </w:r>
    </w:p>
    <w:p w14:paraId="44CC373E" w14:textId="77777777" w:rsidR="009159EF" w:rsidRDefault="00000000">
      <w:pPr>
        <w:pStyle w:val="ListParagraph"/>
        <w:numPr>
          <w:ilvl w:val="0"/>
          <w:numId w:val="2"/>
        </w:numPr>
        <w:spacing w:before="60" w:after="60"/>
      </w:pPr>
      <w:r>
        <w:rPr>
          <w:color w:val="333333"/>
        </w:rPr>
        <w:t xml:space="preserve">Any content designated as </w:t>
      </w:r>
      <w:proofErr w:type="gramStart"/>
      <w:r>
        <w:rPr>
          <w:color w:val="333333"/>
        </w:rPr>
        <w:t>high-stakes</w:t>
      </w:r>
      <w:proofErr w:type="gramEnd"/>
      <w:r>
        <w:rPr>
          <w:color w:val="333333"/>
        </w:rPr>
        <w:t xml:space="preserve"> by the Alliance project manager in writing</w:t>
      </w:r>
    </w:p>
    <w:p w14:paraId="69701ADD" w14:textId="77777777" w:rsidR="009159EF" w:rsidRDefault="009159EF">
      <w:pPr>
        <w:spacing w:before="120"/>
      </w:pPr>
    </w:p>
    <w:p w14:paraId="0CC38C38" w14:textId="77777777" w:rsidR="009159EF" w:rsidRDefault="00000000">
      <w:pPr>
        <w:pStyle w:val="Heading2"/>
      </w:pPr>
      <w:r>
        <w:t>4.2 Required Protocols for High-Stakes Content</w:t>
      </w:r>
    </w:p>
    <w:p w14:paraId="44E70474" w14:textId="4845C6C8" w:rsidR="009159EF" w:rsidRDefault="00000000">
      <w:pPr>
        <w:spacing w:before="80" w:after="80"/>
      </w:pPr>
      <w:r>
        <w:rPr>
          <w:color w:val="333333"/>
        </w:rPr>
        <w:t xml:space="preserve">When translating high-stakes content, the </w:t>
      </w:r>
      <w:r w:rsidR="005D26F3">
        <w:rPr>
          <w:color w:val="333333"/>
        </w:rPr>
        <w:t>Supplier</w:t>
      </w:r>
      <w:r>
        <w:rPr>
          <w:color w:val="333333"/>
        </w:rPr>
        <w:t xml:space="preserve"> agrees to the following mandatory protocols:</w:t>
      </w:r>
    </w:p>
    <w:p w14:paraId="6DA2B440" w14:textId="77777777" w:rsidR="009159EF" w:rsidRDefault="009159EF">
      <w:pPr>
        <w:spacing w:before="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9159EF" w14:paraId="476F9BCA"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shd w:val="clear" w:color="auto" w:fill="D6E4F0"/>
            <w:tcMar>
              <w:top w:w="100" w:type="dxa"/>
              <w:left w:w="160" w:type="dxa"/>
              <w:bottom w:w="100" w:type="dxa"/>
              <w:right w:w="160" w:type="dxa"/>
            </w:tcMar>
          </w:tcPr>
          <w:p w14:paraId="15E9DA7D" w14:textId="77777777" w:rsidR="009159EF" w:rsidRDefault="00000000">
            <w:r>
              <w:rPr>
                <w:b/>
                <w:bCs/>
                <w:color w:val="1F4E79"/>
              </w:rPr>
              <w:t>High-Stakes Content Protocol Checklist</w:t>
            </w:r>
          </w:p>
        </w:tc>
      </w:tr>
      <w:tr w:rsidR="009159EF" w14:paraId="051A3E00"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60" w:type="dxa"/>
              <w:bottom w:w="100" w:type="dxa"/>
              <w:right w:w="160" w:type="dxa"/>
            </w:tcMar>
          </w:tcPr>
          <w:p w14:paraId="1FB87EEF" w14:textId="77777777" w:rsidR="009159EF" w:rsidRDefault="00000000">
            <w:pPr>
              <w:spacing w:before="80" w:after="60"/>
            </w:pPr>
            <w:r>
              <w:rPr>
                <w:sz w:val="20"/>
                <w:szCs w:val="20"/>
              </w:rPr>
              <w:t>☐  All high-stakes translations shall undergo human post-editing by a qualified translator</w:t>
            </w:r>
          </w:p>
          <w:p w14:paraId="03EA558B" w14:textId="77777777" w:rsidR="009159EF" w:rsidRDefault="00000000">
            <w:pPr>
              <w:spacing w:before="60" w:after="60"/>
            </w:pPr>
            <w:r>
              <w:rPr>
                <w:sz w:val="20"/>
                <w:szCs w:val="20"/>
              </w:rPr>
              <w:t>☐  A second independent review shall be conducted for legal and medical materials</w:t>
            </w:r>
          </w:p>
          <w:p w14:paraId="4FE06A3F" w14:textId="519CB0A0" w:rsidR="009159EF" w:rsidRDefault="00000000">
            <w:pPr>
              <w:spacing w:before="60" w:after="60"/>
            </w:pPr>
            <w:r>
              <w:rPr>
                <w:sz w:val="20"/>
                <w:szCs w:val="20"/>
              </w:rPr>
              <w:t xml:space="preserve">☐  The </w:t>
            </w:r>
            <w:r w:rsidR="005D26F3">
              <w:rPr>
                <w:sz w:val="20"/>
                <w:szCs w:val="20"/>
              </w:rPr>
              <w:t>Supplier</w:t>
            </w:r>
            <w:r>
              <w:rPr>
                <w:sz w:val="20"/>
                <w:szCs w:val="20"/>
              </w:rPr>
              <w:t xml:space="preserve"> shall flag any content that AI systems were unable to render with high confidence</w:t>
            </w:r>
          </w:p>
          <w:p w14:paraId="6F58C7EE" w14:textId="77777777" w:rsidR="009159EF" w:rsidRDefault="00000000">
            <w:pPr>
              <w:spacing w:before="60" w:after="60"/>
            </w:pPr>
            <w:r>
              <w:rPr>
                <w:sz w:val="20"/>
                <w:szCs w:val="20"/>
              </w:rPr>
              <w:t>☐  Translations shall be accompanied by a quality certification from the reviewing translator</w:t>
            </w:r>
          </w:p>
          <w:p w14:paraId="3BFAD585" w14:textId="77777777" w:rsidR="009159EF" w:rsidRDefault="00000000">
            <w:pPr>
              <w:spacing w:before="60" w:after="60"/>
            </w:pPr>
            <w:r>
              <w:rPr>
                <w:sz w:val="20"/>
                <w:szCs w:val="20"/>
              </w:rPr>
              <w:t>☐  The Alliance shall be notified if a requested language pair lacks qualified human reviewers</w:t>
            </w:r>
          </w:p>
          <w:p w14:paraId="20DE2410" w14:textId="77777777" w:rsidR="009159EF" w:rsidRDefault="00000000">
            <w:pPr>
              <w:spacing w:before="60" w:after="80"/>
            </w:pPr>
            <w:r>
              <w:rPr>
                <w:sz w:val="20"/>
                <w:szCs w:val="20"/>
              </w:rPr>
              <w:t>☐  Turnaround time estimates shall reflect the additional time required for human review</w:t>
            </w:r>
          </w:p>
        </w:tc>
      </w:tr>
    </w:tbl>
    <w:p w14:paraId="5AC944B7" w14:textId="77777777" w:rsidR="009159EF" w:rsidRDefault="009159EF">
      <w:pPr>
        <w:spacing w:before="160"/>
      </w:pPr>
    </w:p>
    <w:p w14:paraId="765DFB97" w14:textId="77777777" w:rsidR="009159EF" w:rsidRDefault="00000000">
      <w:pPr>
        <w:pStyle w:val="Heading1"/>
        <w:pBdr>
          <w:bottom w:val="single" w:sz="6" w:space="1" w:color="2E75B6"/>
        </w:pBdr>
      </w:pPr>
      <w:r>
        <w:t>5. Quality Assurance Standards</w:t>
      </w:r>
    </w:p>
    <w:p w14:paraId="0E89CB44" w14:textId="02EE747B" w:rsidR="009159EF" w:rsidRDefault="00000000">
      <w:pPr>
        <w:spacing w:before="80" w:after="80"/>
      </w:pPr>
      <w:r>
        <w:rPr>
          <w:color w:val="333333"/>
        </w:rPr>
        <w:t xml:space="preserve">The </w:t>
      </w:r>
      <w:r w:rsidR="005D26F3">
        <w:rPr>
          <w:color w:val="333333"/>
        </w:rPr>
        <w:t>Supplier</w:t>
      </w:r>
      <w:r>
        <w:rPr>
          <w:color w:val="333333"/>
        </w:rPr>
        <w:t xml:space="preserve"> agrees to maintain and provide, upon request, documentation of its quality assurance (QA) process for AI-assisted translation, including:</w:t>
      </w:r>
    </w:p>
    <w:p w14:paraId="5747A979" w14:textId="77777777" w:rsidR="009159EF" w:rsidRDefault="00000000">
      <w:pPr>
        <w:pStyle w:val="ListParagraph"/>
        <w:numPr>
          <w:ilvl w:val="0"/>
          <w:numId w:val="2"/>
        </w:numPr>
        <w:spacing w:before="60" w:after="60"/>
      </w:pPr>
      <w:r>
        <w:rPr>
          <w:color w:val="333333"/>
        </w:rPr>
        <w:t>Quality metrics used to evaluate AI output (e.g., BLEU score, human evaluation rubrics)</w:t>
      </w:r>
    </w:p>
    <w:p w14:paraId="733D6284" w14:textId="77777777" w:rsidR="009159EF" w:rsidRDefault="00000000">
      <w:pPr>
        <w:pStyle w:val="ListParagraph"/>
        <w:numPr>
          <w:ilvl w:val="0"/>
          <w:numId w:val="2"/>
        </w:numPr>
        <w:spacing w:before="60" w:after="60"/>
      </w:pPr>
      <w:r>
        <w:rPr>
          <w:color w:val="333333"/>
        </w:rPr>
        <w:t>Error categorization and escalation procedures</w:t>
      </w:r>
    </w:p>
    <w:p w14:paraId="14F960CF" w14:textId="77777777" w:rsidR="009159EF" w:rsidRDefault="00000000">
      <w:pPr>
        <w:pStyle w:val="ListParagraph"/>
        <w:numPr>
          <w:ilvl w:val="0"/>
          <w:numId w:val="2"/>
        </w:numPr>
        <w:spacing w:before="60" w:after="60"/>
      </w:pPr>
      <w:r>
        <w:rPr>
          <w:color w:val="333333"/>
        </w:rPr>
        <w:t>Feedback loop mechanisms between AI systems and human reviewers</w:t>
      </w:r>
    </w:p>
    <w:p w14:paraId="3E03AC9B" w14:textId="77777777" w:rsidR="009159EF" w:rsidRDefault="00000000">
      <w:pPr>
        <w:pStyle w:val="ListParagraph"/>
        <w:numPr>
          <w:ilvl w:val="0"/>
          <w:numId w:val="2"/>
        </w:numPr>
        <w:spacing w:before="60" w:after="60"/>
      </w:pPr>
      <w:r>
        <w:rPr>
          <w:color w:val="333333"/>
        </w:rPr>
        <w:t>Frequency and methodology of internal QA audits</w:t>
      </w:r>
    </w:p>
    <w:p w14:paraId="2E01941F" w14:textId="77777777" w:rsidR="009159EF" w:rsidRDefault="00000000">
      <w:pPr>
        <w:pStyle w:val="ListParagraph"/>
        <w:numPr>
          <w:ilvl w:val="0"/>
          <w:numId w:val="2"/>
        </w:numPr>
        <w:spacing w:before="60" w:after="60"/>
      </w:pPr>
      <w:r>
        <w:rPr>
          <w:color w:val="333333"/>
        </w:rPr>
        <w:t>Process for incorporating Alliance-specific terminology and style preferences</w:t>
      </w:r>
    </w:p>
    <w:p w14:paraId="0D9C2CA0" w14:textId="77777777" w:rsidR="009159EF" w:rsidRDefault="009159EF">
      <w:pPr>
        <w:spacing w:before="80"/>
      </w:pPr>
    </w:p>
    <w:p w14:paraId="3B68B4EA" w14:textId="77777777" w:rsidR="009159EF" w:rsidRDefault="00000000">
      <w:pPr>
        <w:spacing w:before="80" w:after="80"/>
      </w:pPr>
      <w:r>
        <w:rPr>
          <w:color w:val="333333"/>
        </w:rPr>
        <w:t>The Alliance reserves the right to conduct independent quality audits on a random sample of delivered translations, not to exceed 10% of delivered volume per contract year, at no additional cost to the Alliance.</w:t>
      </w:r>
    </w:p>
    <w:p w14:paraId="3AF15717" w14:textId="77777777" w:rsidR="009159EF" w:rsidRDefault="009159EF">
      <w:pPr>
        <w:spacing w:before="160"/>
      </w:pPr>
    </w:p>
    <w:p w14:paraId="39CB2307" w14:textId="455986F3" w:rsidR="009159EF" w:rsidRDefault="005D26F3">
      <w:pPr>
        <w:pStyle w:val="Heading1"/>
        <w:pBdr>
          <w:bottom w:val="single" w:sz="6" w:space="1" w:color="2E75B6"/>
        </w:pBdr>
      </w:pPr>
      <w:r>
        <w:t>6</w:t>
      </w:r>
      <w:r w:rsidR="00000000">
        <w:t>. Data Privacy and Security</w:t>
      </w:r>
    </w:p>
    <w:p w14:paraId="410B96A4" w14:textId="49A61F65" w:rsidR="009159EF" w:rsidRDefault="00000000">
      <w:pPr>
        <w:spacing w:before="80" w:after="80"/>
      </w:pPr>
      <w:r>
        <w:rPr>
          <w:color w:val="333333"/>
        </w:rPr>
        <w:t xml:space="preserve">The </w:t>
      </w:r>
      <w:r w:rsidR="005D26F3">
        <w:rPr>
          <w:color w:val="333333"/>
        </w:rPr>
        <w:t>Supplier</w:t>
      </w:r>
      <w:r>
        <w:rPr>
          <w:color w:val="333333"/>
        </w:rPr>
        <w:t xml:space="preserve"> warrants that all content processed through AI translation systems shall be handled in compliance with applicable data privacy laws, including but not limited to FERPA, HIPAA (where applicable), CCPA, and any applicable state or federal regulations. Specifically:</w:t>
      </w:r>
    </w:p>
    <w:p w14:paraId="749ED5E9" w14:textId="77777777" w:rsidR="009159EF" w:rsidRDefault="00000000">
      <w:pPr>
        <w:pStyle w:val="ListParagraph"/>
        <w:numPr>
          <w:ilvl w:val="0"/>
          <w:numId w:val="2"/>
        </w:numPr>
        <w:spacing w:before="60" w:after="60"/>
      </w:pPr>
      <w:r>
        <w:rPr>
          <w:color w:val="333333"/>
        </w:rPr>
        <w:t>Source documents shall not be used to train or fine-tune AI models without explicit written consent from the Alliance</w:t>
      </w:r>
    </w:p>
    <w:p w14:paraId="0C813EAA" w14:textId="77777777" w:rsidR="009159EF" w:rsidRDefault="00000000">
      <w:pPr>
        <w:pStyle w:val="ListParagraph"/>
        <w:numPr>
          <w:ilvl w:val="0"/>
          <w:numId w:val="2"/>
        </w:numPr>
        <w:spacing w:before="60" w:after="60"/>
      </w:pPr>
      <w:r>
        <w:rPr>
          <w:color w:val="333333"/>
        </w:rPr>
        <w:lastRenderedPageBreak/>
        <w:t>Content shall not be retained by third-party AI providers beyond the period necessary for service delivery</w:t>
      </w:r>
    </w:p>
    <w:p w14:paraId="554DAC57" w14:textId="339DC63F" w:rsidR="009159EF" w:rsidRDefault="005D26F3">
      <w:pPr>
        <w:pStyle w:val="ListParagraph"/>
        <w:numPr>
          <w:ilvl w:val="0"/>
          <w:numId w:val="2"/>
        </w:numPr>
        <w:spacing w:before="60" w:after="60"/>
      </w:pPr>
      <w:r>
        <w:rPr>
          <w:color w:val="333333"/>
        </w:rPr>
        <w:t>Supplier</w:t>
      </w:r>
      <w:r w:rsidR="00000000">
        <w:rPr>
          <w:color w:val="333333"/>
        </w:rPr>
        <w:t xml:space="preserve"> shall maintain a current data processing agreement (DPA) with any third-party AI service provider</w:t>
      </w:r>
    </w:p>
    <w:p w14:paraId="1FD9625E" w14:textId="77777777" w:rsidR="009159EF" w:rsidRDefault="00000000">
      <w:pPr>
        <w:pStyle w:val="ListParagraph"/>
        <w:numPr>
          <w:ilvl w:val="0"/>
          <w:numId w:val="2"/>
        </w:numPr>
        <w:spacing w:before="60" w:after="60"/>
      </w:pPr>
      <w:r>
        <w:rPr>
          <w:color w:val="333333"/>
        </w:rPr>
        <w:t>The Alliance shall be notified within 72 hours of any data breach affecting Alliance content</w:t>
      </w:r>
    </w:p>
    <w:p w14:paraId="719F850A" w14:textId="77777777" w:rsidR="009159EF" w:rsidRDefault="009159EF">
      <w:pPr>
        <w:spacing w:before="160"/>
      </w:pPr>
    </w:p>
    <w:p w14:paraId="0FBFC91F" w14:textId="33BB855B" w:rsidR="009159EF" w:rsidRDefault="005D26F3">
      <w:pPr>
        <w:pStyle w:val="Heading1"/>
        <w:pBdr>
          <w:bottom w:val="single" w:sz="6" w:space="1" w:color="2E75B6"/>
        </w:pBdr>
      </w:pPr>
      <w:r>
        <w:t>7</w:t>
      </w:r>
      <w:r w:rsidR="00000000">
        <w:t>. Transparency and Labeling</w:t>
      </w:r>
    </w:p>
    <w:p w14:paraId="4B9360BC" w14:textId="79F08FE8" w:rsidR="009159EF" w:rsidRDefault="00000000">
      <w:pPr>
        <w:spacing w:before="80" w:after="80"/>
      </w:pPr>
      <w:r>
        <w:rPr>
          <w:color w:val="333333"/>
        </w:rPr>
        <w:t xml:space="preserve">To promote informed use of translated materials, the </w:t>
      </w:r>
      <w:r w:rsidR="005D26F3">
        <w:rPr>
          <w:color w:val="333333"/>
        </w:rPr>
        <w:t>Supplier</w:t>
      </w:r>
      <w:r>
        <w:rPr>
          <w:color w:val="333333"/>
        </w:rPr>
        <w:t xml:space="preserve"> agrees to:</w:t>
      </w:r>
    </w:p>
    <w:p w14:paraId="6FF2E828" w14:textId="77777777" w:rsidR="009159EF" w:rsidRDefault="00000000">
      <w:pPr>
        <w:pStyle w:val="ListParagraph"/>
        <w:numPr>
          <w:ilvl w:val="0"/>
          <w:numId w:val="2"/>
        </w:numPr>
        <w:spacing w:before="60" w:after="60"/>
      </w:pPr>
      <w:r>
        <w:rPr>
          <w:color w:val="333333"/>
        </w:rPr>
        <w:t>Label all AI-assisted translations delivered to the Alliance as such, including the method used (e.g., "Machine Translated," "Machine Translated with Human Post-Editing")</w:t>
      </w:r>
    </w:p>
    <w:p w14:paraId="54C13AE5" w14:textId="77777777" w:rsidR="009159EF" w:rsidRDefault="00000000">
      <w:pPr>
        <w:pStyle w:val="ListParagraph"/>
        <w:numPr>
          <w:ilvl w:val="0"/>
          <w:numId w:val="2"/>
        </w:numPr>
        <w:spacing w:before="60" w:after="60"/>
      </w:pPr>
      <w:r>
        <w:rPr>
          <w:color w:val="333333"/>
        </w:rPr>
        <w:t>Provide confidence scores or quality flags where technically feasible</w:t>
      </w:r>
    </w:p>
    <w:p w14:paraId="13FD407B" w14:textId="77777777" w:rsidR="009159EF" w:rsidRDefault="00000000">
      <w:pPr>
        <w:pStyle w:val="ListParagraph"/>
        <w:numPr>
          <w:ilvl w:val="0"/>
          <w:numId w:val="2"/>
        </w:numPr>
        <w:spacing w:before="60" w:after="60"/>
      </w:pPr>
      <w:r>
        <w:rPr>
          <w:color w:val="333333"/>
        </w:rPr>
        <w:t>Disclose if a language pair was translated via a "pivot language" (i.e., source → English → target)</w:t>
      </w:r>
    </w:p>
    <w:p w14:paraId="759F67A0" w14:textId="77777777" w:rsidR="009159EF" w:rsidRDefault="00000000">
      <w:pPr>
        <w:pStyle w:val="ListParagraph"/>
        <w:numPr>
          <w:ilvl w:val="0"/>
          <w:numId w:val="2"/>
        </w:numPr>
        <w:spacing w:before="60" w:after="60"/>
      </w:pPr>
      <w:r>
        <w:rPr>
          <w:color w:val="333333"/>
        </w:rPr>
        <w:t>Maintain version records for all delivered translations for a minimum of three (3) years</w:t>
      </w:r>
    </w:p>
    <w:p w14:paraId="43D2E516" w14:textId="29A624A1" w:rsidR="009159EF" w:rsidRDefault="005D26F3">
      <w:pPr>
        <w:pStyle w:val="Heading1"/>
        <w:pBdr>
          <w:bottom w:val="single" w:sz="6" w:space="1" w:color="2E75B6"/>
        </w:pBdr>
      </w:pPr>
      <w:r>
        <w:t>8</w:t>
      </w:r>
      <w:r w:rsidR="00000000">
        <w:t>. Acknowledgment and Signatures</w:t>
      </w:r>
    </w:p>
    <w:p w14:paraId="0CAB5C87" w14:textId="3DF80A59" w:rsidR="009159EF" w:rsidRDefault="00000000">
      <w:pPr>
        <w:spacing w:before="80" w:after="80"/>
      </w:pPr>
      <w:r>
        <w:rPr>
          <w:color w:val="333333"/>
        </w:rPr>
        <w:t xml:space="preserve">By signing below, both </w:t>
      </w:r>
      <w:r w:rsidR="005D26F3">
        <w:rPr>
          <w:color w:val="333333"/>
        </w:rPr>
        <w:t xml:space="preserve">Supplier </w:t>
      </w:r>
      <w:r>
        <w:rPr>
          <w:color w:val="333333"/>
        </w:rPr>
        <w:t>acknowledge</w:t>
      </w:r>
      <w:r w:rsidR="005D26F3">
        <w:rPr>
          <w:color w:val="333333"/>
        </w:rPr>
        <w:t>s</w:t>
      </w:r>
      <w:r>
        <w:rPr>
          <w:color w:val="333333"/>
        </w:rPr>
        <w:t xml:space="preserve"> that they have read, understood, and agree to the terms set forth in this Appendix L — AI Accuracy Disclosure Form. </w:t>
      </w:r>
      <w:r w:rsidR="005D26F3">
        <w:rPr>
          <w:color w:val="333333"/>
        </w:rPr>
        <w:t>Supplier</w:t>
      </w:r>
      <w:r>
        <w:rPr>
          <w:color w:val="333333"/>
        </w:rPr>
        <w:t xml:space="preserve"> further acknowledge that this Appendix forms an integral part of the Translation Services Agreement and is binding upon execution.</w:t>
      </w:r>
    </w:p>
    <w:p w14:paraId="25097139" w14:textId="77777777" w:rsidR="009159EF" w:rsidRDefault="009159EF">
      <w:pPr>
        <w:spacing w:before="120"/>
      </w:pPr>
    </w:p>
    <w:tbl>
      <w:tblPr>
        <w:tblW w:w="4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60"/>
      </w:tblGrid>
      <w:tr w:rsidR="005D26F3" w14:paraId="114F592A" w14:textId="77777777" w:rsidTr="005D26F3">
        <w:tblPrEx>
          <w:tblCellMar>
            <w:top w:w="0" w:type="dxa"/>
            <w:bottom w:w="0" w:type="dxa"/>
          </w:tblCellMar>
        </w:tblPrEx>
        <w:tc>
          <w:tcPr>
            <w:tcW w:w="4560" w:type="dxa"/>
            <w:tcBorders>
              <w:top w:val="single" w:sz="1" w:space="0" w:color="CCCCCC"/>
              <w:left w:val="single" w:sz="1" w:space="0" w:color="CCCCCC"/>
              <w:bottom w:val="single" w:sz="1" w:space="0" w:color="CCCCCC"/>
              <w:right w:val="single" w:sz="1" w:space="0" w:color="CCCCCC"/>
            </w:tcBorders>
            <w:shd w:val="clear" w:color="auto" w:fill="F2F2F2"/>
            <w:tcMar>
              <w:top w:w="120" w:type="dxa"/>
              <w:left w:w="160" w:type="dxa"/>
              <w:bottom w:w="200" w:type="dxa"/>
              <w:right w:w="160" w:type="dxa"/>
            </w:tcMar>
          </w:tcPr>
          <w:p w14:paraId="76496ACD" w14:textId="1BA2FAC2" w:rsidR="005D26F3" w:rsidRDefault="005D26F3">
            <w:pPr>
              <w:spacing w:before="60" w:after="60"/>
            </w:pPr>
            <w:r>
              <w:rPr>
                <w:b/>
                <w:bCs/>
                <w:color w:val="1F4E79"/>
                <w:sz w:val="20"/>
                <w:szCs w:val="20"/>
              </w:rPr>
              <w:t>Supplier Representative</w:t>
            </w:r>
          </w:p>
          <w:p w14:paraId="7993252B" w14:textId="77777777" w:rsidR="005D26F3" w:rsidRDefault="005D26F3">
            <w:pPr>
              <w:pBdr>
                <w:bottom w:val="single" w:sz="4" w:space="1" w:color="999999"/>
              </w:pBdr>
              <w:spacing w:before="40" w:after="40"/>
            </w:pPr>
            <w:r>
              <w:rPr>
                <w:color w:val="333333"/>
                <w:sz w:val="20"/>
                <w:szCs w:val="20"/>
              </w:rPr>
              <w:t>Name: ___________________________</w:t>
            </w:r>
          </w:p>
          <w:p w14:paraId="1D05D5A3" w14:textId="77777777" w:rsidR="005D26F3" w:rsidRDefault="005D26F3">
            <w:pPr>
              <w:pBdr>
                <w:bottom w:val="single" w:sz="4" w:space="1" w:color="999999"/>
              </w:pBdr>
              <w:spacing w:before="40" w:after="40"/>
            </w:pPr>
            <w:r>
              <w:rPr>
                <w:color w:val="333333"/>
                <w:sz w:val="20"/>
                <w:szCs w:val="20"/>
              </w:rPr>
              <w:t>Title: ___________________________</w:t>
            </w:r>
          </w:p>
          <w:p w14:paraId="03E1A12A" w14:textId="77777777" w:rsidR="005D26F3" w:rsidRDefault="005D26F3">
            <w:pPr>
              <w:pBdr>
                <w:bottom w:val="single" w:sz="4" w:space="1" w:color="999999"/>
              </w:pBdr>
              <w:spacing w:before="40" w:after="40"/>
            </w:pPr>
            <w:r>
              <w:rPr>
                <w:color w:val="333333"/>
                <w:sz w:val="20"/>
                <w:szCs w:val="20"/>
              </w:rPr>
              <w:t>Date:  ___________________________</w:t>
            </w:r>
          </w:p>
          <w:p w14:paraId="01F07EA9" w14:textId="77777777" w:rsidR="005D26F3" w:rsidRDefault="005D26F3">
            <w:pPr>
              <w:pBdr>
                <w:bottom w:val="single" w:sz="4" w:space="1" w:color="999999"/>
              </w:pBdr>
              <w:spacing w:before="40" w:after="40"/>
            </w:pPr>
            <w:r>
              <w:rPr>
                <w:color w:val="333333"/>
                <w:sz w:val="20"/>
                <w:szCs w:val="20"/>
              </w:rPr>
              <w:t>Signature: ______________________</w:t>
            </w:r>
          </w:p>
        </w:tc>
      </w:tr>
    </w:tbl>
    <w:p w14:paraId="2C1C595B" w14:textId="77777777" w:rsidR="009159EF" w:rsidRDefault="009159EF">
      <w:pPr>
        <w:spacing w:before="80"/>
      </w:pPr>
    </w:p>
    <w:p w14:paraId="569CBB45" w14:textId="3AB0BFF5" w:rsidR="009159EF" w:rsidRDefault="00000000">
      <w:pPr>
        <w:spacing w:before="120"/>
      </w:pPr>
      <w:r>
        <w:rPr>
          <w:i/>
          <w:iCs/>
          <w:color w:val="595959"/>
          <w:sz w:val="18"/>
          <w:szCs w:val="18"/>
        </w:rPr>
        <w:t xml:space="preserve">This form should be completed, signed, and returned with the </w:t>
      </w:r>
      <w:r w:rsidR="005D26F3">
        <w:rPr>
          <w:i/>
          <w:iCs/>
          <w:color w:val="595959"/>
          <w:sz w:val="18"/>
          <w:szCs w:val="18"/>
        </w:rPr>
        <w:t>Supplier</w:t>
      </w:r>
      <w:r>
        <w:rPr>
          <w:i/>
          <w:iCs/>
          <w:color w:val="595959"/>
          <w:sz w:val="18"/>
          <w:szCs w:val="18"/>
        </w:rPr>
        <w:t>’s RFP response as part of the complete proposal package.</w:t>
      </w:r>
    </w:p>
    <w:sectPr w:rsidR="009159EF">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96EA7" w14:textId="77777777" w:rsidR="00D313C9" w:rsidRDefault="00D313C9">
      <w:r>
        <w:separator/>
      </w:r>
    </w:p>
  </w:endnote>
  <w:endnote w:type="continuationSeparator" w:id="0">
    <w:p w14:paraId="3F3859A4" w14:textId="77777777" w:rsidR="00D313C9" w:rsidRDefault="00D31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0F6B3" w14:textId="77777777" w:rsidR="009159EF" w:rsidRDefault="00000000">
    <w:pPr>
      <w:pBdr>
        <w:top w:val="single" w:sz="6" w:space="1" w:color="2E75B6"/>
      </w:pBdr>
      <w:spacing w:before="80"/>
    </w:pPr>
    <w:r>
      <w:rPr>
        <w:color w:val="595959"/>
        <w:sz w:val="18"/>
        <w:szCs w:val="18"/>
      </w:rPr>
      <w:t xml:space="preserve">Alliance for Innovation — Confidential &amp; Proprietary    |    Page </w:t>
    </w:r>
    <w:r>
      <w:rPr>
        <w:color w:val="595959"/>
        <w:sz w:val="18"/>
        <w:szCs w:val="18"/>
      </w:rPr>
      <w:fldChar w:fldCharType="begin"/>
    </w:r>
    <w:r>
      <w:rPr>
        <w:color w:val="595959"/>
        <w:sz w:val="18"/>
        <w:szCs w:val="18"/>
      </w:rPr>
      <w:instrText>PAGE</w:instrText>
    </w:r>
    <w:r>
      <w:rPr>
        <w:color w:val="595959"/>
        <w:sz w:val="18"/>
        <w:szCs w:val="18"/>
      </w:rPr>
      <w:fldChar w:fldCharType="separate"/>
    </w:r>
    <w:r w:rsidR="005D26F3">
      <w:rPr>
        <w:noProof/>
        <w:color w:val="595959"/>
        <w:sz w:val="18"/>
        <w:szCs w:val="18"/>
      </w:rPr>
      <w:t>1</w:t>
    </w:r>
    <w:r>
      <w:rPr>
        <w:color w:val="595959"/>
        <w:sz w:val="18"/>
        <w:szCs w:val="18"/>
      </w:rPr>
      <w:fldChar w:fldCharType="end"/>
    </w:r>
    <w:r>
      <w:rPr>
        <w:color w:val="595959"/>
        <w:sz w:val="18"/>
        <w:szCs w:val="18"/>
      </w:rPr>
      <w:t xml:space="preserve"> of </w:t>
    </w:r>
    <w:r>
      <w:rPr>
        <w:color w:val="595959"/>
        <w:sz w:val="18"/>
        <w:szCs w:val="18"/>
      </w:rPr>
      <w:fldChar w:fldCharType="begin"/>
    </w:r>
    <w:r>
      <w:rPr>
        <w:color w:val="595959"/>
        <w:sz w:val="18"/>
        <w:szCs w:val="18"/>
      </w:rPr>
      <w:instrText>NUMPAGES</w:instrText>
    </w:r>
    <w:r>
      <w:rPr>
        <w:color w:val="595959"/>
        <w:sz w:val="18"/>
        <w:szCs w:val="18"/>
      </w:rPr>
      <w:fldChar w:fldCharType="separate"/>
    </w:r>
    <w:r w:rsidR="005D26F3">
      <w:rPr>
        <w:noProof/>
        <w:color w:val="595959"/>
        <w:sz w:val="18"/>
        <w:szCs w:val="18"/>
      </w:rPr>
      <w:t>2</w:t>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74776" w14:textId="77777777" w:rsidR="00D313C9" w:rsidRDefault="00D313C9">
      <w:r>
        <w:separator/>
      </w:r>
    </w:p>
  </w:footnote>
  <w:footnote w:type="continuationSeparator" w:id="0">
    <w:p w14:paraId="6809D2FE" w14:textId="77777777" w:rsidR="00D313C9" w:rsidRDefault="00D31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5F739" w14:textId="77777777" w:rsidR="009159EF" w:rsidRDefault="00000000">
    <w:pPr>
      <w:pBdr>
        <w:bottom w:val="single" w:sz="6" w:space="1" w:color="2E75B6"/>
      </w:pBdr>
      <w:spacing w:after="80"/>
    </w:pPr>
    <w:r>
      <w:rPr>
        <w:color w:val="595959"/>
        <w:sz w:val="18"/>
        <w:szCs w:val="18"/>
      </w:rPr>
      <w:t>ALLIANCE FOR INNOVATION  |  Translation Services RFP  |  Appendix 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D4E19"/>
    <w:multiLevelType w:val="hybridMultilevel"/>
    <w:tmpl w:val="99C2182E"/>
    <w:lvl w:ilvl="0" w:tplc="FE887236">
      <w:start w:val="1"/>
      <w:numFmt w:val="bullet"/>
      <w:lvlText w:val="●"/>
      <w:lvlJc w:val="left"/>
      <w:pPr>
        <w:ind w:left="720" w:hanging="360"/>
      </w:pPr>
    </w:lvl>
    <w:lvl w:ilvl="1" w:tplc="15886AFA">
      <w:start w:val="1"/>
      <w:numFmt w:val="bullet"/>
      <w:lvlText w:val="○"/>
      <w:lvlJc w:val="left"/>
      <w:pPr>
        <w:ind w:left="1440" w:hanging="360"/>
      </w:pPr>
    </w:lvl>
    <w:lvl w:ilvl="2" w:tplc="79C61A1A">
      <w:start w:val="1"/>
      <w:numFmt w:val="bullet"/>
      <w:lvlText w:val="■"/>
      <w:lvlJc w:val="left"/>
      <w:pPr>
        <w:ind w:left="2160" w:hanging="360"/>
      </w:pPr>
    </w:lvl>
    <w:lvl w:ilvl="3" w:tplc="A7DAD730">
      <w:start w:val="1"/>
      <w:numFmt w:val="bullet"/>
      <w:lvlText w:val="●"/>
      <w:lvlJc w:val="left"/>
      <w:pPr>
        <w:ind w:left="2880" w:hanging="360"/>
      </w:pPr>
    </w:lvl>
    <w:lvl w:ilvl="4" w:tplc="E2929F56">
      <w:start w:val="1"/>
      <w:numFmt w:val="bullet"/>
      <w:lvlText w:val="○"/>
      <w:lvlJc w:val="left"/>
      <w:pPr>
        <w:ind w:left="3600" w:hanging="360"/>
      </w:pPr>
    </w:lvl>
    <w:lvl w:ilvl="5" w:tplc="12080588">
      <w:start w:val="1"/>
      <w:numFmt w:val="bullet"/>
      <w:lvlText w:val="■"/>
      <w:lvlJc w:val="left"/>
      <w:pPr>
        <w:ind w:left="4320" w:hanging="360"/>
      </w:pPr>
    </w:lvl>
    <w:lvl w:ilvl="6" w:tplc="9ADA34C2">
      <w:start w:val="1"/>
      <w:numFmt w:val="bullet"/>
      <w:lvlText w:val="●"/>
      <w:lvlJc w:val="left"/>
      <w:pPr>
        <w:ind w:left="5040" w:hanging="360"/>
      </w:pPr>
    </w:lvl>
    <w:lvl w:ilvl="7" w:tplc="47EE0562">
      <w:start w:val="1"/>
      <w:numFmt w:val="bullet"/>
      <w:lvlText w:val="●"/>
      <w:lvlJc w:val="left"/>
      <w:pPr>
        <w:ind w:left="5760" w:hanging="360"/>
      </w:pPr>
    </w:lvl>
    <w:lvl w:ilvl="8" w:tplc="DDA49688">
      <w:start w:val="1"/>
      <w:numFmt w:val="bullet"/>
      <w:lvlText w:val="●"/>
      <w:lvlJc w:val="left"/>
      <w:pPr>
        <w:ind w:left="6480" w:hanging="360"/>
      </w:pPr>
    </w:lvl>
  </w:abstractNum>
  <w:abstractNum w:abstractNumId="1" w15:restartNumberingAfterBreak="0">
    <w:nsid w:val="6CF36427"/>
    <w:multiLevelType w:val="hybridMultilevel"/>
    <w:tmpl w:val="D5F804C8"/>
    <w:lvl w:ilvl="0" w:tplc="E63632D4">
      <w:start w:val="1"/>
      <w:numFmt w:val="bullet"/>
      <w:lvlText w:val="•"/>
      <w:lvlJc w:val="left"/>
      <w:pPr>
        <w:ind w:left="720" w:hanging="360"/>
      </w:pPr>
    </w:lvl>
    <w:lvl w:ilvl="1" w:tplc="6AE69BDA">
      <w:numFmt w:val="decimal"/>
      <w:lvlText w:val=""/>
      <w:lvlJc w:val="left"/>
    </w:lvl>
    <w:lvl w:ilvl="2" w:tplc="96FE2D5C">
      <w:numFmt w:val="decimal"/>
      <w:lvlText w:val=""/>
      <w:lvlJc w:val="left"/>
    </w:lvl>
    <w:lvl w:ilvl="3" w:tplc="8228B1D8">
      <w:numFmt w:val="decimal"/>
      <w:lvlText w:val=""/>
      <w:lvlJc w:val="left"/>
    </w:lvl>
    <w:lvl w:ilvl="4" w:tplc="5650C762">
      <w:numFmt w:val="decimal"/>
      <w:lvlText w:val=""/>
      <w:lvlJc w:val="left"/>
    </w:lvl>
    <w:lvl w:ilvl="5" w:tplc="8706843C">
      <w:numFmt w:val="decimal"/>
      <w:lvlText w:val=""/>
      <w:lvlJc w:val="left"/>
    </w:lvl>
    <w:lvl w:ilvl="6" w:tplc="6166F9AE">
      <w:numFmt w:val="decimal"/>
      <w:lvlText w:val=""/>
      <w:lvlJc w:val="left"/>
    </w:lvl>
    <w:lvl w:ilvl="7" w:tplc="29F64D18">
      <w:numFmt w:val="decimal"/>
      <w:lvlText w:val=""/>
      <w:lvlJc w:val="left"/>
    </w:lvl>
    <w:lvl w:ilvl="8" w:tplc="EBDE523E">
      <w:numFmt w:val="decimal"/>
      <w:lvlText w:val=""/>
      <w:lvlJc w:val="left"/>
    </w:lvl>
  </w:abstractNum>
  <w:num w:numId="1" w16cid:durableId="831409418">
    <w:abstractNumId w:val="0"/>
    <w:lvlOverride w:ilvl="0">
      <w:startOverride w:val="1"/>
    </w:lvlOverride>
  </w:num>
  <w:num w:numId="2" w16cid:durableId="47653767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9EF"/>
    <w:rsid w:val="000526EF"/>
    <w:rsid w:val="005D26F3"/>
    <w:rsid w:val="009159EF"/>
    <w:rsid w:val="00D31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6918C"/>
  <w15:docId w15:val="{CE3985A4-EEEE-45B7-A31B-79B7E56EC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F4E79"/>
      <w:sz w:val="28"/>
      <w:szCs w:val="28"/>
    </w:rPr>
  </w:style>
  <w:style w:type="paragraph" w:styleId="Heading2">
    <w:name w:val="heading 2"/>
    <w:uiPriority w:val="9"/>
    <w:unhideWhenUsed/>
    <w:qFormat/>
    <w:pPr>
      <w:spacing w:before="240" w:after="120"/>
      <w:outlineLvl w:val="1"/>
    </w:pPr>
    <w:rPr>
      <w:b/>
      <w:bCs/>
      <w:color w:val="2E75B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979</Words>
  <Characters>6301</Characters>
  <Application>Microsoft Office Word</Application>
  <DocSecurity>0</DocSecurity>
  <Lines>153</Lines>
  <Paragraphs>113</Paragraphs>
  <ScaleCrop>false</ScaleCrop>
  <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Chris Primiano</cp:lastModifiedBy>
  <cp:revision>2</cp:revision>
  <dcterms:created xsi:type="dcterms:W3CDTF">2026-03-27T16:47:00Z</dcterms:created>
  <dcterms:modified xsi:type="dcterms:W3CDTF">2026-03-27T16:47:00Z</dcterms:modified>
</cp:coreProperties>
</file>